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评分细则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主题（20分）：紧扣主题。围绕规定授课内容，针对性和现实性强，观点正确。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重点（30分）：重点突出。内容充实，讲述条理清楚。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有系统性和逻辑性，思路清晰，有一定的深度和扩展性。重点讲述涉及主题核心的内容。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3．教法（20分）：教法生动。教学方法运用得当，辅助媒体选择合理，课件设计规范美观，注重信息化技术的使用，操作熟练，有助于主题的深化。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4．表达（20分）：表达清晰。语言流畅、表述准确；普通话标准、运用得当。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5．教态（10分）：教态端庄。展现蓬勃向上的精神风貌，得体大方的仪表、站姿，教态端正。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6．时间把握：讲课时间不超过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分钟，超时将酌情扣分。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FECE"/>
    <w:multiLevelType w:val="singleLevel"/>
    <w:tmpl w:val="2599FEC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2022-04-13T10:22:28Z</dcterms:created>
  <dc:creator>sweetener</dc:creator>
  <cp:lastModifiedBy>欢喜</cp:lastModifiedBy>
  <dcterms:modified xsi:type="dcterms:W3CDTF">2022-04-13T10:22:52Z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